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7809FB">
        <w:rPr>
          <w:b/>
          <w:u w:val="single"/>
        </w:rPr>
        <w:t>479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7809FB">
        <w:t>Structural Design III- CIV E 47</w:t>
      </w:r>
      <w:r w:rsidR="009205FC">
        <w:t>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766637" w:rsidRPr="00766637" w:rsidRDefault="00766637" w:rsidP="00766637">
      <w:pPr>
        <w:autoSpaceDE w:val="0"/>
        <w:autoSpaceDN w:val="0"/>
        <w:adjustRightInd w:val="0"/>
        <w:spacing w:after="0" w:line="240" w:lineRule="auto"/>
      </w:pPr>
      <w:r w:rsidRPr="00766637">
        <w:t>The four-credit course is the “capstone” project course offered</w:t>
      </w:r>
      <w:r>
        <w:t xml:space="preserve"> by the Department of Civil and </w:t>
      </w:r>
      <w:r w:rsidRPr="00766637">
        <w:t>Environmental Engineering to undergraduate students in the Str</w:t>
      </w:r>
      <w:r>
        <w:t xml:space="preserve">uctural Engineering stream. The </w:t>
      </w:r>
      <w:r w:rsidRPr="00766637">
        <w:t>course gives advanced topics in design of steel, reinforced concre</w:t>
      </w:r>
      <w:r>
        <w:t xml:space="preserve">te, and timber structures under </w:t>
      </w:r>
      <w:r w:rsidRPr="00766637">
        <w:t>gravity and lateral loads using the limit states design method. F</w:t>
      </w:r>
      <w:r>
        <w:t xml:space="preserve">urthermore, the introduction to </w:t>
      </w:r>
      <w:r w:rsidRPr="00766637">
        <w:t xml:space="preserve">seismic design of structures in accordance with the National </w:t>
      </w:r>
      <w:r>
        <w:t xml:space="preserve">Building Code of Canada (NBCC) </w:t>
      </w:r>
      <w:r w:rsidRPr="00766637">
        <w:t>is given. The students are expected to complete a design project a</w:t>
      </w:r>
      <w:r>
        <w:t xml:space="preserve">s part of this course using the </w:t>
      </w:r>
      <w:r w:rsidRPr="00766637">
        <w:t>knowledge that they have gained throughout their program, in particular, the topics covered in</w:t>
      </w:r>
    </w:p>
    <w:p w:rsidR="00624C30" w:rsidRPr="00766637" w:rsidRDefault="00766637" w:rsidP="00766637">
      <w:pPr>
        <w:autoSpaceDE w:val="0"/>
        <w:autoSpaceDN w:val="0"/>
        <w:adjustRightInd w:val="0"/>
        <w:spacing w:after="0" w:line="240" w:lineRule="auto"/>
      </w:pPr>
      <w:r w:rsidRPr="00766637">
        <w:t>Civ E 270, 372, 374, and 474. The project this year will be det</w:t>
      </w:r>
      <w:r>
        <w:t xml:space="preserve">ailed design of a building or a </w:t>
      </w:r>
      <w:r w:rsidRPr="00766637">
        <w:t>composite bridge structure, which will be completed in a group of</w:t>
      </w:r>
      <w:r>
        <w:t xml:space="preserve"> five students. Each group will </w:t>
      </w:r>
      <w:r w:rsidRPr="00766637">
        <w:t>submit a professional report on structural design of the structure together with design drawings</w:t>
      </w:r>
      <w:r>
        <w:t xml:space="preserve"> at </w:t>
      </w:r>
      <w:r w:rsidRPr="00766637">
        <w:t>the end of the term and make an oral presentation to a group of industry leaders.</w:t>
      </w:r>
    </w:p>
    <w:p w:rsidR="00766637" w:rsidRDefault="00766637" w:rsidP="005076C3">
      <w:pPr>
        <w:spacing w:after="0"/>
        <w:rPr>
          <w:u w:val="single"/>
        </w:rPr>
      </w:pPr>
    </w:p>
    <w:p w:rsidR="00766637" w:rsidRDefault="00766637" w:rsidP="005076C3">
      <w:pPr>
        <w:spacing w:after="0"/>
        <w:rPr>
          <w:u w:val="single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525B19" w:rsidRDefault="00525B19" w:rsidP="00525B19">
      <w:pPr>
        <w:autoSpaceDE w:val="0"/>
        <w:autoSpaceDN w:val="0"/>
        <w:adjustRightInd w:val="0"/>
        <w:spacing w:after="0" w:line="240" w:lineRule="auto"/>
      </w:pPr>
      <w:r w:rsidRPr="00525B19">
        <w:t xml:space="preserve">1. Cement Association of Canada (2016) “Concrete Design Handbook” </w:t>
      </w:r>
      <w:r>
        <w:t xml:space="preserve">Cement Association </w:t>
      </w:r>
      <w:r w:rsidRPr="00525B19">
        <w:t>of Canada, 4th Edition.</w:t>
      </w:r>
    </w:p>
    <w:p w:rsidR="00525B19" w:rsidRPr="00525B19" w:rsidRDefault="00525B19" w:rsidP="00525B19">
      <w:pPr>
        <w:autoSpaceDE w:val="0"/>
        <w:autoSpaceDN w:val="0"/>
        <w:adjustRightInd w:val="0"/>
        <w:spacing w:after="0" w:line="240" w:lineRule="auto"/>
      </w:pPr>
    </w:p>
    <w:p w:rsidR="00525B19" w:rsidRDefault="00525B19" w:rsidP="00525B19">
      <w:pPr>
        <w:autoSpaceDE w:val="0"/>
        <w:autoSpaceDN w:val="0"/>
        <w:adjustRightInd w:val="0"/>
        <w:spacing w:after="0" w:line="240" w:lineRule="auto"/>
      </w:pPr>
      <w:r w:rsidRPr="00525B19">
        <w:t>2. Canadian Institute of Steel Construction (2016) “Handbook o</w:t>
      </w:r>
      <w:r>
        <w:t xml:space="preserve">f Steel Construction” </w:t>
      </w:r>
      <w:r w:rsidRPr="00525B19">
        <w:t>Canadian Institute of Steel Construction, 11th Edition. T</w:t>
      </w:r>
      <w:r>
        <w:t xml:space="preserve">his book contains the governing </w:t>
      </w:r>
      <w:r w:rsidRPr="00525B19">
        <w:t xml:space="preserve">design standard for the design of steel structures in Canada </w:t>
      </w:r>
      <w:r>
        <w:t xml:space="preserve">in accordance with 2014 edition </w:t>
      </w:r>
      <w:r w:rsidRPr="00525B19">
        <w:t xml:space="preserve">of the CAN/CSA S16. (Student discount is offered by </w:t>
      </w:r>
      <w:r>
        <w:t xml:space="preserve">CISC and CISC Alberta Region to </w:t>
      </w:r>
      <w:r w:rsidRPr="00525B19">
        <w:t>the students registered in this semester).</w:t>
      </w:r>
    </w:p>
    <w:p w:rsidR="00525B19" w:rsidRPr="00525B19" w:rsidRDefault="00525B19" w:rsidP="00525B19">
      <w:pPr>
        <w:autoSpaceDE w:val="0"/>
        <w:autoSpaceDN w:val="0"/>
        <w:adjustRightInd w:val="0"/>
        <w:spacing w:after="0" w:line="240" w:lineRule="auto"/>
      </w:pPr>
    </w:p>
    <w:p w:rsidR="009205FC" w:rsidRPr="00525B19" w:rsidRDefault="00525B19" w:rsidP="00525B19">
      <w:pPr>
        <w:autoSpaceDE w:val="0"/>
        <w:autoSpaceDN w:val="0"/>
        <w:adjustRightInd w:val="0"/>
        <w:spacing w:after="0" w:line="240" w:lineRule="auto"/>
      </w:pPr>
      <w:r w:rsidRPr="00525B19">
        <w:t>3. Canadian Wood Council (2018) “Wood Design Manu</w:t>
      </w:r>
      <w:r>
        <w:t xml:space="preserve">al” This book contains the 2014 </w:t>
      </w:r>
      <w:r w:rsidRPr="00525B19">
        <w:t>edition of CSA O86-14 Engineering Design in Wood</w:t>
      </w:r>
      <w:r>
        <w:t xml:space="preserve">. ($225. Students receive a 40% </w:t>
      </w:r>
      <w:r w:rsidRPr="00525B19">
        <w:t>discount.)</w:t>
      </w:r>
    </w:p>
    <w:p w:rsidR="00525B19" w:rsidRDefault="00525B19" w:rsidP="00624C30">
      <w:pPr>
        <w:spacing w:line="240" w:lineRule="auto"/>
        <w:rPr>
          <w:u w:val="single"/>
        </w:rPr>
      </w:pP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305B28" w:rsidRPr="00305B28" w:rsidRDefault="00305B28" w:rsidP="00305B2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888"/>
        <w:gridCol w:w="3414"/>
        <w:gridCol w:w="3254"/>
      </w:tblGrid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7, 9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5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Introduction; Structural design process; Limit states design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(YHC)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Review of design loads; Snow and wind loading (YHC)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14, 16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74" w:lineRule="exact"/>
              <w:ind w:left="115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Introduction to earthquake engineering (AI)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74" w:lineRule="exact"/>
              <w:ind w:left="119" w:right="9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force-resisting systems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21, 23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analysis of structures I (AI)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analysis of structures II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28, 30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Equivalent static force procedure and response spectra (AI)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Capacity design principle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4, 6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design of steel braced frames I (AI)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design of steel braced frames II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11, 13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design of steel braced frames III (AI)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design of steel braced frames IV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Feb. 18, 20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Reading week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25, 27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74" w:lineRule="exact"/>
              <w:ind w:left="11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Introduction to structural timber design (YHC)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74" w:lineRule="exact"/>
              <w:ind w:left="119" w:right="762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Design of axially loaded timber members (YHC)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3, 5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left="115"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Design of flexural timber members (YHC)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left="119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Design of composite timber members (YHC)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10, 12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Design of CLT LLRS (YHC)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Introduction to design of RC structures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17, 19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239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bearing and retaining walls I (AI)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15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bearing and retaining walls II (AI)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24, 26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68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RC shear walls I (AI)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442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RC shear walls II (AI)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31, April 2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5" w:right="44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timber connections (YHC)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19" w:right="282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Design of timber connections (YHC)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8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7</w:t>
            </w:r>
          </w:p>
        </w:tc>
        <w:tc>
          <w:tcPr>
            <w:tcW w:w="34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Design of steel connections (AI)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1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- Online</w:t>
            </w:r>
          </w:p>
        </w:tc>
        <w:tc>
          <w:tcPr>
            <w:tcW w:w="325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19" w:rsidRDefault="00525B19" w:rsidP="00525B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28" w:rsidRDefault="00305B28" w:rsidP="00525B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28" w:rsidRPr="00525B19" w:rsidRDefault="00305B28" w:rsidP="00305B28">
      <w:pPr>
        <w:spacing w:after="0"/>
        <w:rPr>
          <w:u w:val="single"/>
        </w:rPr>
      </w:pPr>
      <w:r w:rsidRPr="00305B28">
        <w:rPr>
          <w:u w:val="single"/>
        </w:rPr>
        <w:t>LAB CONTENT</w:t>
      </w:r>
    </w:p>
    <w:p w:rsidR="00525B19" w:rsidRPr="00525B19" w:rsidRDefault="00525B19" w:rsidP="00525B19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361" w:right="62" w:hanging="212"/>
        <w:jc w:val="right"/>
        <w:rPr>
          <w:rFonts w:ascii="Arial" w:hAnsi="Arial" w:cs="Arial"/>
          <w:w w:val="105"/>
          <w:sz w:val="17"/>
          <w:szCs w:val="17"/>
        </w:rPr>
      </w:pPr>
    </w:p>
    <w:p w:rsidR="00305B28" w:rsidRPr="00305B28" w:rsidRDefault="00305B28" w:rsidP="00305B2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105"/>
        <w:gridCol w:w="7324"/>
      </w:tblGrid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10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Project introduction: Building and Bridge (YHC &amp; 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17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56" w:right="3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Bridge loading and construction I by Amir Jamshidi, Niik Group, </w:t>
            </w: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PhD, PEng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S-Frame tutorial session: Seismic analysis of building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24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Bridge loading and construction II by Amir Jamshidi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S-Frame tutorial session: Moving loads and bridge analysis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31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Seismic analysis lab (AI)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7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Quiz 1: Seismic loading (1h)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Bridge loading example by Amir Jamshidi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14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Preliminary design project presentation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 w:color="000000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 w:color="000000"/>
              </w:rPr>
              <w:t>Feb. 21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Reading week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28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Bridge design I: Steel-concrete composite bridge by Jessica Gagné,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Associated Engineering, </w:t>
            </w: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MEng, PEng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Invited lecturer (TBD)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6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Bridge design II: Steel-concrete composite bridge by Jessica Gagné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>Bridge design lab by Jessica Gagné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13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trike/>
                <w:color w:val="3366FF"/>
                <w:sz w:val="24"/>
                <w:szCs w:val="24"/>
              </w:rPr>
              <w:t xml:space="preserve">Quiz 2: Timber design (1h)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(Cancelled)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76" w:lineRule="auto"/>
              <w:ind w:left="156" w:right="31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trike/>
                <w:color w:val="3366FF"/>
                <w:sz w:val="24"/>
                <w:szCs w:val="24"/>
              </w:rPr>
              <w:t xml:space="preserve">Design of crane-supporting structures by Dr. Hossein Daneshvar, </w:t>
            </w:r>
            <w:r w:rsidRPr="00305B28">
              <w:rPr>
                <w:rFonts w:ascii="Times New Roman" w:hAnsi="Times New Roman" w:cs="Times New Roman"/>
                <w:i/>
                <w:iCs/>
                <w:strike/>
                <w:color w:val="3366FF"/>
                <w:sz w:val="24"/>
                <w:szCs w:val="24"/>
              </w:rPr>
              <w:t>PhD,</w:t>
            </w:r>
            <w:r w:rsidRPr="00305B28">
              <w:rPr>
                <w:rFonts w:ascii="Times New Roman" w:hAnsi="Times New Roman" w:cs="Times New Roman"/>
                <w:i/>
                <w:iCs/>
                <w:color w:val="3366FF"/>
                <w:sz w:val="24"/>
                <w:szCs w:val="24"/>
              </w:rPr>
              <w:t xml:space="preserve"> </w:t>
            </w:r>
            <w:r w:rsidRPr="00305B28">
              <w:rPr>
                <w:rFonts w:ascii="Times New Roman" w:hAnsi="Times New Roman" w:cs="Times New Roman"/>
                <w:i/>
                <w:iCs/>
                <w:strike/>
                <w:color w:val="3366FF"/>
                <w:sz w:val="24"/>
                <w:szCs w:val="24"/>
              </w:rPr>
              <w:t xml:space="preserve">PEng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(Cancelled)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20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Quiz 2: Timber design (Online 2:00 – 3:15pm)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Design of steel crane-supporting structures by Dr. Hossein Daneshvar,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color w:val="3366FF"/>
                <w:sz w:val="24"/>
                <w:szCs w:val="24"/>
              </w:rPr>
              <w:t xml:space="preserve">PhD, PEng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(Online 3:30 – 4:50pm)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76" w:lineRule="auto"/>
              <w:ind w:left="156" w:right="59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trike/>
                <w:sz w:val="24"/>
                <w:szCs w:val="24"/>
              </w:rPr>
              <w:t>Behaviour and design of masonry structures by Dr. Carlos Cruz</w:t>
            </w: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(No lecture, notes posted for self-study)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Mar. 27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Quiz 3: Steel and Reinforced concrete design </w:t>
            </w:r>
            <w:r w:rsidRPr="00305B28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(Online 2:00 – 3:30pm)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310" w:lineRule="atLeast"/>
              <w:ind w:left="156" w:right="27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Life Cycle Assessment and software introduction </w:t>
            </w: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(YHC)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(Online 3:45 – 4:50pm)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3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trike/>
                <w:sz w:val="24"/>
                <w:szCs w:val="24"/>
              </w:rPr>
              <w:t>Supreme shop tour</w:t>
            </w: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(Cancelled)</w:t>
            </w:r>
          </w:p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Q &amp; A Session with Instructors (Online)</w:t>
            </w:r>
          </w:p>
        </w:tc>
      </w:tr>
      <w:tr w:rsidR="00305B28" w:rsidRPr="0030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8</w:t>
            </w:r>
          </w:p>
        </w:tc>
        <w:tc>
          <w:tcPr>
            <w:tcW w:w="73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05B28" w:rsidRPr="00305B28" w:rsidRDefault="00305B28" w:rsidP="00305B2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56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05B28">
              <w:rPr>
                <w:rFonts w:ascii="Times New Roman" w:hAnsi="Times New Roman" w:cs="Times New Roman"/>
                <w:sz w:val="24"/>
                <w:szCs w:val="24"/>
              </w:rPr>
              <w:t xml:space="preserve">Final presentation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(Online 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  <w:shd w:val="clear" w:color="auto" w:fill="00FF00"/>
              </w:rPr>
              <w:t>1pm – 5pm</w:t>
            </w:r>
            <w:r w:rsidRPr="00305B28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)</w:t>
            </w:r>
          </w:p>
        </w:tc>
      </w:tr>
    </w:tbl>
    <w:p w:rsidR="00525B19" w:rsidRPr="00525B19" w:rsidRDefault="00525B19" w:rsidP="00525B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3166" w:rsidRDefault="00533166" w:rsidP="00C40E94">
      <w:pPr>
        <w:spacing w:after="0"/>
      </w:pPr>
    </w:p>
    <w:p w:rsidR="00BE0EC1" w:rsidRPr="00624C30" w:rsidRDefault="00BE0EC1" w:rsidP="00624C30">
      <w:pPr>
        <w:spacing w:after="0"/>
      </w:pPr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B1ECF"/>
    <w:rsid w:val="001E4C49"/>
    <w:rsid w:val="001E7D07"/>
    <w:rsid w:val="0027176E"/>
    <w:rsid w:val="002B6D4D"/>
    <w:rsid w:val="002D2170"/>
    <w:rsid w:val="00305B28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25B19"/>
    <w:rsid w:val="00533166"/>
    <w:rsid w:val="00566C0D"/>
    <w:rsid w:val="005761D0"/>
    <w:rsid w:val="005D4E72"/>
    <w:rsid w:val="005D7AA0"/>
    <w:rsid w:val="005E2478"/>
    <w:rsid w:val="00624C30"/>
    <w:rsid w:val="006A0B39"/>
    <w:rsid w:val="00766637"/>
    <w:rsid w:val="007809FB"/>
    <w:rsid w:val="00820518"/>
    <w:rsid w:val="0085432B"/>
    <w:rsid w:val="00865FC1"/>
    <w:rsid w:val="008B477E"/>
    <w:rsid w:val="008D7BD5"/>
    <w:rsid w:val="008F6ED9"/>
    <w:rsid w:val="009149D3"/>
    <w:rsid w:val="009205FC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BE0EC1"/>
    <w:rsid w:val="00C31CE2"/>
    <w:rsid w:val="00C40E94"/>
    <w:rsid w:val="00CD73AF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0040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5</cp:revision>
  <dcterms:created xsi:type="dcterms:W3CDTF">2020-06-11T22:36:00Z</dcterms:created>
  <dcterms:modified xsi:type="dcterms:W3CDTF">2020-06-12T17:04:00Z</dcterms:modified>
</cp:coreProperties>
</file>